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5BF59D" w14:textId="5B957525" w:rsidR="000100EB" w:rsidRDefault="000100EB" w:rsidP="000100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Lato" w:eastAsia="Lato" w:hAnsi="Lato" w:cs="Lato"/>
          <w:b/>
          <w:sz w:val="28"/>
          <w:szCs w:val="28"/>
        </w:rPr>
        <w:t>Curriculum Plans – Year 1</w:t>
      </w:r>
      <w:r w:rsidR="004A0125">
        <w:rPr>
          <w:rFonts w:ascii="Lato" w:eastAsia="Lato" w:hAnsi="Lato" w:cs="Lato"/>
          <w:b/>
          <w:sz w:val="28"/>
          <w:szCs w:val="28"/>
        </w:rPr>
        <w:t>3</w:t>
      </w:r>
      <w:r>
        <w:rPr>
          <w:rFonts w:ascii="Lato" w:eastAsia="Lato" w:hAnsi="Lato" w:cs="Lato"/>
          <w:b/>
          <w:sz w:val="28"/>
          <w:szCs w:val="28"/>
        </w:rPr>
        <w:t xml:space="preserve"> – Statistics </w:t>
      </w:r>
      <w:r w:rsidR="004A0125">
        <w:rPr>
          <w:rFonts w:ascii="Lato" w:eastAsia="Lato" w:hAnsi="Lato" w:cs="Lato"/>
          <w:b/>
          <w:sz w:val="28"/>
          <w:szCs w:val="28"/>
        </w:rPr>
        <w:t>2</w:t>
      </w:r>
    </w:p>
    <w:p w14:paraId="28976B11" w14:textId="0FB09528" w:rsidR="00AA21AE" w:rsidRDefault="0E0D4DEF" w:rsidP="044266D0">
      <w:pPr>
        <w:jc w:val="center"/>
      </w:pPr>
      <w:r w:rsidRPr="044266D0">
        <w:rPr>
          <w:rFonts w:ascii="Lato" w:eastAsia="Lato" w:hAnsi="Lato" w:cs="Lato"/>
          <w:b/>
          <w:bCs/>
        </w:rPr>
        <w:t xml:space="preserve"> </w:t>
      </w:r>
    </w:p>
    <w:p w14:paraId="43EA5849" w14:textId="2760C5A5" w:rsidR="00AA21AE" w:rsidRDefault="0E0D4DEF">
      <w:r w:rsidRPr="044266D0">
        <w:rPr>
          <w:rFonts w:ascii="Lato" w:eastAsia="Lato" w:hAnsi="Lato" w:cs="Lato"/>
        </w:rPr>
        <w:t xml:space="preserve"> </w:t>
      </w:r>
    </w:p>
    <w:p w14:paraId="340E7D76" w14:textId="14157E13" w:rsidR="00AA21AE" w:rsidRDefault="0E0D4DEF"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Please find below a detailed outline of the curriculum covered in </w:t>
      </w:r>
      <w:r w:rsidR="00B150AF">
        <w:rPr>
          <w:rFonts w:ascii="Lato" w:eastAsia="Lato" w:hAnsi="Lato" w:cs="Lato"/>
          <w:color w:val="000000" w:themeColor="text1"/>
          <w:sz w:val="26"/>
          <w:szCs w:val="26"/>
        </w:rPr>
        <w:t xml:space="preserve">Year </w:t>
      </w:r>
      <w:r w:rsidR="000100EB">
        <w:rPr>
          <w:rFonts w:ascii="Lato" w:eastAsia="Lato" w:hAnsi="Lato" w:cs="Lato"/>
          <w:color w:val="000000" w:themeColor="text1"/>
          <w:sz w:val="26"/>
          <w:szCs w:val="26"/>
        </w:rPr>
        <w:t>1</w:t>
      </w:r>
      <w:r w:rsidR="004A0125">
        <w:rPr>
          <w:rFonts w:ascii="Lato" w:eastAsia="Lato" w:hAnsi="Lato" w:cs="Lato"/>
          <w:color w:val="000000" w:themeColor="text1"/>
          <w:sz w:val="26"/>
          <w:szCs w:val="26"/>
        </w:rPr>
        <w:t>3</w:t>
      </w:r>
      <w:r w:rsidR="000100EB">
        <w:rPr>
          <w:rFonts w:ascii="Lato" w:eastAsia="Lato" w:hAnsi="Lato" w:cs="Lato"/>
          <w:color w:val="000000" w:themeColor="text1"/>
          <w:sz w:val="26"/>
          <w:szCs w:val="26"/>
        </w:rPr>
        <w:t xml:space="preserve">, </w:t>
      </w:r>
      <w:r w:rsidR="00340959">
        <w:rPr>
          <w:rFonts w:ascii="Lato" w:eastAsia="Lato" w:hAnsi="Lato" w:cs="Lato"/>
          <w:color w:val="000000" w:themeColor="text1"/>
          <w:sz w:val="26"/>
          <w:szCs w:val="26"/>
        </w:rPr>
        <w:t>A2</w:t>
      </w:r>
      <w:r w:rsidR="000100EB">
        <w:rPr>
          <w:rFonts w:ascii="Lato" w:eastAsia="Lato" w:hAnsi="Lato" w:cs="Lato"/>
          <w:color w:val="000000" w:themeColor="text1"/>
          <w:sz w:val="26"/>
          <w:szCs w:val="26"/>
        </w:rPr>
        <w:t xml:space="preserve"> Mathematics, Statistics </w:t>
      </w:r>
      <w:r w:rsidR="004A0125">
        <w:rPr>
          <w:rFonts w:ascii="Lato" w:eastAsia="Lato" w:hAnsi="Lato" w:cs="Lato"/>
          <w:color w:val="000000" w:themeColor="text1"/>
          <w:sz w:val="26"/>
          <w:szCs w:val="26"/>
        </w:rPr>
        <w:t>2</w:t>
      </w:r>
      <w:r w:rsidR="00B150AF">
        <w:rPr>
          <w:rFonts w:ascii="Lato" w:eastAsia="Lato" w:hAnsi="Lato" w:cs="Lato"/>
          <w:color w:val="000000" w:themeColor="text1"/>
          <w:sz w:val="26"/>
          <w:szCs w:val="26"/>
        </w:rPr>
        <w:t xml:space="preserve"> </w:t>
      </w:r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in Key stage </w:t>
      </w:r>
      <w:r w:rsidR="000100EB">
        <w:rPr>
          <w:rFonts w:ascii="Lato" w:eastAsia="Lato" w:hAnsi="Lato" w:cs="Lato"/>
          <w:color w:val="000000" w:themeColor="text1"/>
          <w:sz w:val="26"/>
          <w:szCs w:val="26"/>
        </w:rPr>
        <w:t>5</w:t>
      </w:r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. </w:t>
      </w:r>
    </w:p>
    <w:p w14:paraId="592988FC" w14:textId="47F4C6E6" w:rsidR="00AA21AE" w:rsidRDefault="0E0D4DEF">
      <w:r w:rsidRPr="044266D0">
        <w:rPr>
          <w:rFonts w:ascii="Lato" w:eastAsia="Lato" w:hAnsi="Lato" w:cs="Lato"/>
        </w:rPr>
        <w:t xml:space="preserve"> </w:t>
      </w:r>
    </w:p>
    <w:tbl>
      <w:tblPr>
        <w:tblW w:w="10490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274"/>
        <w:gridCol w:w="1420"/>
        <w:gridCol w:w="1276"/>
        <w:gridCol w:w="1559"/>
        <w:gridCol w:w="1417"/>
        <w:gridCol w:w="1418"/>
        <w:gridCol w:w="850"/>
        <w:gridCol w:w="1276"/>
      </w:tblGrid>
      <w:tr w:rsidR="044266D0" w14:paraId="6ED5C701" w14:textId="77777777" w:rsidTr="000100EB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945A" w14:textId="65F6E3BE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Block</w:t>
            </w:r>
          </w:p>
        </w:tc>
        <w:tc>
          <w:tcPr>
            <w:tcW w:w="1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3C92" w14:textId="21D08186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D517" w14:textId="164C8D9C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5AC0" w14:textId="163356DA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AAE9" w14:textId="3BF4906C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1838F" w14:textId="7A0E5AF9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2BA2" w14:textId="23E1345D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BD16" w14:textId="5A09CDAE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251A0E" w14:paraId="65CED93E" w14:textId="77777777" w:rsidTr="000100EB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4D62" w14:textId="7FC9616D" w:rsidR="00251A0E" w:rsidRDefault="0092063C" w:rsidP="0092063C">
            <w:pPr>
              <w:widowControl w:val="0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Dates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562BF" w14:textId="348A12C3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</w:t>
            </w:r>
            <w:r w:rsidR="0092063C">
              <w:rPr>
                <w:rFonts w:ascii="Lato" w:eastAsia="Lato" w:hAnsi="Lato" w:cs="Lato"/>
                <w:b/>
                <w:sz w:val="20"/>
                <w:szCs w:val="20"/>
              </w:rPr>
              <w:t>5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th August - </w:t>
            </w:r>
            <w:r w:rsidR="0092063C">
              <w:rPr>
                <w:rFonts w:ascii="Lato" w:eastAsia="Lato" w:hAnsi="Lato" w:cs="Lato"/>
                <w:b/>
                <w:sz w:val="20"/>
                <w:szCs w:val="20"/>
              </w:rPr>
              <w:t>19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th September</w:t>
            </w:r>
          </w:p>
          <w:p w14:paraId="477A116E" w14:textId="51D11ECB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4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7B3C" w14:textId="532132D2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29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September - 2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4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th October</w:t>
            </w:r>
          </w:p>
          <w:p w14:paraId="3AB37135" w14:textId="77777777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(4 weeks)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D1E1" w14:textId="47939B70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3rd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November - 17th December</w:t>
            </w:r>
          </w:p>
          <w:p w14:paraId="67224D1F" w14:textId="318BADB5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9ACB" w14:textId="002B2116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6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th January – 7th February</w:t>
            </w:r>
          </w:p>
          <w:p w14:paraId="4E40333D" w14:textId="650B7B68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8EAB" w14:textId="749A3D95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23rd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February –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3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April</w:t>
            </w:r>
          </w:p>
          <w:p w14:paraId="1A3FF1FE" w14:textId="209904F2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55C6" w14:textId="5659C128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13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April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–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19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May</w:t>
            </w:r>
          </w:p>
          <w:p w14:paraId="266E3EC2" w14:textId="1CACCEFA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5.5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6A4C" w14:textId="2C8D19EC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5th May – 24th June</w:t>
            </w:r>
          </w:p>
          <w:p w14:paraId="037CCCF1" w14:textId="64EFD917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4.5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</w:tr>
      <w:tr w:rsidR="005D625F" w14:paraId="51086813" w14:textId="77777777" w:rsidTr="000100EB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3182" w14:textId="5D909F9F" w:rsidR="005D625F" w:rsidRDefault="005D625F" w:rsidP="005D625F">
            <w:r w:rsidRPr="044266D0">
              <w:rPr>
                <w:rFonts w:ascii="Lato" w:eastAsia="Lato" w:hAnsi="Lato" w:cs="Lato"/>
              </w:rPr>
              <w:t>Topics</w:t>
            </w:r>
          </w:p>
        </w:tc>
        <w:tc>
          <w:tcPr>
            <w:tcW w:w="1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C652D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b/>
                <w:sz w:val="18"/>
                <w:szCs w:val="18"/>
              </w:rPr>
              <w:t>Hypothesis testing</w:t>
            </w:r>
          </w:p>
          <w:p w14:paraId="1DE22F7D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 xml:space="preserve"> i) Introduction to hypothesis testing</w:t>
            </w:r>
          </w:p>
          <w:p w14:paraId="09449479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ii) One-tailed and two-tailed hypothesis test</w:t>
            </w:r>
          </w:p>
          <w:p w14:paraId="40C2FF2F" w14:textId="27009311" w:rsidR="005D625F" w:rsidRDefault="005D625F" w:rsidP="005D625F">
            <w:r w:rsidRPr="00EC3359">
              <w:rPr>
                <w:rFonts w:ascii="Lato" w:eastAsia="Lato" w:hAnsi="Lato" w:cs="Lato"/>
                <w:sz w:val="18"/>
                <w:szCs w:val="18"/>
              </w:rPr>
              <w:t>iii) Type I and Type II errors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463F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b/>
                <w:sz w:val="18"/>
                <w:szCs w:val="18"/>
              </w:rPr>
              <w:t>The Poisson distribution</w:t>
            </w:r>
          </w:p>
          <w:p w14:paraId="6AC3A970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i) Introduction to the Poisson distribution</w:t>
            </w:r>
          </w:p>
          <w:p w14:paraId="6F48239F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ii) Adapting the Poisson distribution for different intervals</w:t>
            </w:r>
          </w:p>
          <w:p w14:paraId="3D8B8738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iii) The Poisson distribution an approximation to the binomial and Poisson distribution</w:t>
            </w:r>
          </w:p>
          <w:p w14:paraId="0AE04FD2" w14:textId="2CCF3DF2" w:rsidR="005D625F" w:rsidRPr="000100EB" w:rsidRDefault="005D625F" w:rsidP="005D625F">
            <w:pPr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iv) Hypothesis testing with the Poisson distribution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9EB6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b/>
                <w:sz w:val="18"/>
                <w:szCs w:val="18"/>
              </w:rPr>
              <w:t>Linear combinations of random variable</w:t>
            </w:r>
          </w:p>
          <w:p w14:paraId="2773570E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i) Expectation and variance</w:t>
            </w:r>
          </w:p>
          <w:p w14:paraId="0EDF6AA3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ii) Sum and difference of independent random variables</w:t>
            </w:r>
          </w:p>
          <w:p w14:paraId="2C0AB72F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iii) Working with normal distributions</w:t>
            </w:r>
          </w:p>
          <w:p w14:paraId="32225E9A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iv) Linear combinations of Poisson distributions</w:t>
            </w:r>
          </w:p>
          <w:p w14:paraId="5850F196" w14:textId="263959CC" w:rsidR="005D625F" w:rsidRPr="007019C8" w:rsidRDefault="005D625F" w:rsidP="005D625F"/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201CE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b/>
                <w:sz w:val="18"/>
                <w:szCs w:val="18"/>
              </w:rPr>
              <w:t>Continuous random variables</w:t>
            </w:r>
          </w:p>
          <w:p w14:paraId="7EBBFD9F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 w:rsidRPr="00EC3359">
              <w:rPr>
                <w:rFonts w:ascii="Lato" w:eastAsia="Lato" w:hAnsi="Lato" w:cs="Lato"/>
                <w:sz w:val="18"/>
                <w:szCs w:val="18"/>
              </w:rPr>
              <w:t>i) Introduction to continuous random variables</w:t>
            </w:r>
          </w:p>
          <w:p w14:paraId="0CFDA909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ii) Finding the median and other percentiles of a continuous random variable</w:t>
            </w:r>
          </w:p>
          <w:p w14:paraId="7A4A83E0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iii) Finding the expectation and variance</w:t>
            </w:r>
          </w:p>
          <w:p w14:paraId="17B21EC4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b/>
                <w:sz w:val="18"/>
                <w:szCs w:val="18"/>
              </w:rPr>
              <w:t xml:space="preserve"> Sampling</w:t>
            </w:r>
          </w:p>
          <w:p w14:paraId="2752F862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 w:rsidRPr="00EC3359">
              <w:rPr>
                <w:rFonts w:ascii="Lato" w:eastAsia="Lato" w:hAnsi="Lato" w:cs="Lato"/>
                <w:sz w:val="18"/>
                <w:szCs w:val="18"/>
              </w:rPr>
              <w:t>i) Introduction to sampling</w:t>
            </w:r>
          </w:p>
          <w:p w14:paraId="005BEF34" w14:textId="350F7D67" w:rsidR="005D625F" w:rsidRDefault="005D625F" w:rsidP="005D625F">
            <w:r w:rsidRPr="00EC3359">
              <w:rPr>
                <w:rFonts w:ascii="Lato" w:eastAsia="Lato" w:hAnsi="Lato" w:cs="Lato"/>
                <w:sz w:val="18"/>
                <w:szCs w:val="18"/>
              </w:rPr>
              <w:t>ii) The distribution of sample means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1862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b/>
                <w:sz w:val="18"/>
                <w:szCs w:val="18"/>
              </w:rPr>
              <w:t>Estimation</w:t>
            </w:r>
          </w:p>
          <w:p w14:paraId="02A934EE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i) Unbiased estimates of population mean and variance</w:t>
            </w:r>
          </w:p>
          <w:p w14:paraId="30605352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ii) Hypothesis testing of the population mean</w:t>
            </w:r>
          </w:p>
          <w:p w14:paraId="7A6947DB" w14:textId="77777777" w:rsidR="005D625F" w:rsidRPr="00EC3359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iii) Confidence intervals for population mean</w:t>
            </w:r>
          </w:p>
          <w:p w14:paraId="33F68FF3" w14:textId="77777777" w:rsidR="005D625F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iv) Confidence intervals for population proportion</w:t>
            </w:r>
          </w:p>
          <w:p w14:paraId="14FD2CA1" w14:textId="77777777" w:rsidR="005D625F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</w:p>
          <w:p w14:paraId="4FA5DDAD" w14:textId="77777777" w:rsidR="005D625F" w:rsidRPr="001C39F5" w:rsidRDefault="005D625F" w:rsidP="005D625F">
            <w:pPr>
              <w:widowControl w:val="0"/>
              <w:spacing w:before="240" w:after="240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1C39F5">
              <w:rPr>
                <w:rFonts w:ascii="Lato" w:eastAsia="Lato" w:hAnsi="Lato" w:cs="Lato"/>
                <w:b/>
                <w:bCs/>
                <w:sz w:val="18"/>
                <w:szCs w:val="18"/>
              </w:rPr>
              <w:t>Examination preparation</w:t>
            </w:r>
          </w:p>
          <w:p w14:paraId="38F3A7BB" w14:textId="464043E2" w:rsidR="005D625F" w:rsidRPr="00B150AF" w:rsidRDefault="005D625F" w:rsidP="005D625F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BA562" w14:textId="46789CAD" w:rsidR="005D625F" w:rsidRDefault="005D625F" w:rsidP="005D6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b/>
              </w:rPr>
            </w:pPr>
            <w:r w:rsidRPr="007852AB">
              <w:rPr>
                <w:rFonts w:ascii="Lato" w:eastAsia="Lato" w:hAnsi="Lato" w:cs="Lato"/>
                <w:b/>
                <w:bCs/>
                <w:sz w:val="18"/>
                <w:szCs w:val="18"/>
              </w:rPr>
              <w:t>Examination preparation</w:t>
            </w:r>
          </w:p>
          <w:p w14:paraId="0F157D67" w14:textId="77777777" w:rsidR="005D625F" w:rsidRDefault="005D625F" w:rsidP="005D6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b/>
              </w:rPr>
            </w:pPr>
          </w:p>
          <w:p w14:paraId="653212E6" w14:textId="46154A57" w:rsidR="005D625F" w:rsidRDefault="005D625F" w:rsidP="005D6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</w:t>
            </w:r>
            <w:r w:rsidR="009321C1">
              <w:rPr>
                <w:rFonts w:ascii="Lato" w:eastAsia="Lato" w:hAnsi="Lato" w:cs="Lato"/>
                <w:b/>
              </w:rPr>
              <w:t>2</w:t>
            </w:r>
            <w:r>
              <w:rPr>
                <w:rFonts w:ascii="Lato" w:eastAsia="Lato" w:hAnsi="Lato" w:cs="Lato"/>
                <w:b/>
              </w:rPr>
              <w:t xml:space="preserve"> Level</w:t>
            </w:r>
          </w:p>
          <w:p w14:paraId="32718FE8" w14:textId="44BAA7CF" w:rsidR="005D625F" w:rsidRDefault="005D625F" w:rsidP="005D625F">
            <w:pPr>
              <w:jc w:val="center"/>
            </w:pPr>
            <w:r w:rsidRPr="7F8488E0">
              <w:rPr>
                <w:rFonts w:ascii="Lato" w:eastAsia="Lato" w:hAnsi="Lato" w:cs="Lato"/>
                <w:b/>
                <w:bCs/>
              </w:rPr>
              <w:t>Examinations</w:t>
            </w:r>
          </w:p>
        </w:tc>
      </w:tr>
      <w:tr w:rsidR="005D625F" w14:paraId="19349BFD" w14:textId="77777777" w:rsidTr="002A0393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5B35" w14:textId="6253BE28" w:rsidR="005D625F" w:rsidRDefault="005D625F" w:rsidP="005D625F">
            <w:r w:rsidRPr="044266D0">
              <w:rPr>
                <w:rFonts w:ascii="Lato" w:eastAsia="Lato" w:hAnsi="Lato" w:cs="Lato"/>
                <w:sz w:val="18"/>
                <w:szCs w:val="18"/>
              </w:rPr>
              <w:t>Assessments</w:t>
            </w:r>
          </w:p>
        </w:tc>
        <w:tc>
          <w:tcPr>
            <w:tcW w:w="1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6166" w14:textId="56F3865F" w:rsidR="005D625F" w:rsidRDefault="005D625F" w:rsidP="005D625F">
            <w:r>
              <w:rPr>
                <w:rFonts w:ascii="Lato" w:eastAsia="Lato" w:hAnsi="Lato" w:cs="Lato"/>
                <w:sz w:val="16"/>
                <w:szCs w:val="16"/>
              </w:rPr>
              <w:t>End of block assessment on</w:t>
            </w:r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 Chapters 1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BFDE" w14:textId="540DC54A" w:rsidR="005D625F" w:rsidRDefault="005D625F" w:rsidP="005D625F">
            <w:r>
              <w:rPr>
                <w:rFonts w:ascii="Lato" w:eastAsia="Lato" w:hAnsi="Lato" w:cs="Lato"/>
                <w:sz w:val="16"/>
                <w:szCs w:val="16"/>
              </w:rPr>
              <w:t>End of block assessment</w:t>
            </w:r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 on Chapters 1 - </w:t>
            </w:r>
            <w:r>
              <w:rPr>
                <w:rFonts w:ascii="Lato" w:eastAsia="Lato" w:hAnsi="Lato" w:cs="Lato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D514" w14:textId="087B0C65" w:rsidR="005D625F" w:rsidRDefault="005D625F" w:rsidP="005D625F">
            <w:r>
              <w:rPr>
                <w:rFonts w:ascii="Lato" w:eastAsia="Lato" w:hAnsi="Lato" w:cs="Lato"/>
                <w:sz w:val="16"/>
                <w:szCs w:val="16"/>
              </w:rPr>
              <w:t>Mock examinations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6C18" w14:textId="7D69AC44" w:rsidR="005D625F" w:rsidRDefault="005D625F" w:rsidP="005D625F"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End of block </w:t>
            </w:r>
            <w:r>
              <w:rPr>
                <w:rFonts w:ascii="Lato" w:eastAsia="Lato" w:hAnsi="Lato" w:cs="Lato"/>
                <w:sz w:val="16"/>
                <w:szCs w:val="16"/>
              </w:rPr>
              <w:t>assessment</w:t>
            </w:r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 on Chapters 1 -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4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9640" w14:textId="32F81A4E" w:rsidR="005D625F" w:rsidRDefault="005D625F" w:rsidP="005D625F"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End of Term assessment on Chapters 1 - </w:t>
            </w:r>
            <w:r>
              <w:rPr>
                <w:rFonts w:ascii="Lato" w:eastAsia="Lato" w:hAnsi="Lato" w:cs="Lato"/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257D3" w14:textId="3ABC5390" w:rsidR="005D625F" w:rsidRDefault="005D625F" w:rsidP="005D625F">
            <w:r>
              <w:rPr>
                <w:rFonts w:ascii="Lato" w:eastAsia="Lato" w:hAnsi="Lato" w:cs="Lato"/>
                <w:sz w:val="16"/>
                <w:szCs w:val="16"/>
              </w:rPr>
              <w:t>Examinations</w:t>
            </w:r>
          </w:p>
        </w:tc>
      </w:tr>
      <w:tr w:rsidR="005D625F" w14:paraId="752B3A7A" w14:textId="77777777" w:rsidTr="00251A0E">
        <w:trPr>
          <w:trHeight w:val="300"/>
        </w:trPr>
        <w:tc>
          <w:tcPr>
            <w:tcW w:w="10490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4B4D" w14:textId="584AC84E" w:rsidR="005D625F" w:rsidRDefault="005D625F" w:rsidP="005D625F">
            <w:pPr>
              <w:jc w:val="center"/>
            </w:pPr>
            <w:r w:rsidRPr="044266D0">
              <w:rPr>
                <w:rFonts w:ascii="Lato" w:eastAsia="Lato" w:hAnsi="Lato" w:cs="Lato"/>
                <w:sz w:val="20"/>
                <w:szCs w:val="20"/>
              </w:rPr>
              <w:t>Each block the academic themes are incorporated into a problem-solving lesson.</w:t>
            </w:r>
          </w:p>
        </w:tc>
      </w:tr>
    </w:tbl>
    <w:p w14:paraId="4EB98175" w14:textId="33FE2851" w:rsidR="00AA21AE" w:rsidRDefault="00AA21AE" w:rsidP="044266D0">
      <w:pPr>
        <w:rPr>
          <w:rFonts w:ascii="Lato" w:eastAsia="Lato" w:hAnsi="Lato" w:cs="Lato"/>
        </w:rPr>
      </w:pPr>
    </w:p>
    <w:sectPr w:rsidR="00AA21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73" w:bottom="1440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3D017" w14:textId="77777777" w:rsidR="00377AED" w:rsidRDefault="00377AED">
      <w:r>
        <w:separator/>
      </w:r>
    </w:p>
  </w:endnote>
  <w:endnote w:type="continuationSeparator" w:id="0">
    <w:p w14:paraId="7F1F6E87" w14:textId="77777777" w:rsidR="00377AED" w:rsidRDefault="0037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15AA8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85310" w14:textId="77777777" w:rsidR="00AA21AE" w:rsidRDefault="00D724BA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junija 92, 1231 Ljubljana-Črnuče, Slovenia </w:t>
    </w:r>
  </w:p>
  <w:p w14:paraId="3817574B" w14:textId="77777777" w:rsidR="00AA21AE" w:rsidRDefault="00D724BA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FD764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B90D1" w14:textId="77777777" w:rsidR="00377AED" w:rsidRDefault="00377AED">
      <w:r>
        <w:separator/>
      </w:r>
    </w:p>
  </w:footnote>
  <w:footnote w:type="continuationSeparator" w:id="0">
    <w:p w14:paraId="38698289" w14:textId="77777777" w:rsidR="00377AED" w:rsidRDefault="0037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EE7D2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9893A" w14:textId="77777777" w:rsidR="00AA21AE" w:rsidRDefault="00AA21AE">
    <w:pPr>
      <w:pBdr>
        <w:top w:val="nil"/>
        <w:left w:val="nil"/>
        <w:bottom w:val="nil"/>
        <w:right w:val="nil"/>
        <w:between w:val="nil"/>
      </w:pBdr>
      <w:ind w:left="6480" w:firstLine="720"/>
    </w:pPr>
  </w:p>
  <w:p w14:paraId="28A23ED4" w14:textId="77777777" w:rsidR="00AA21AE" w:rsidRDefault="00D724BA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114300" distB="114300" distL="114300" distR="114300" wp14:anchorId="496D2403" wp14:editId="7B0B62A6">
          <wp:extent cx="645120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510CCD" w14:textId="77777777" w:rsidR="00AA21AE" w:rsidRDefault="00AA21AE">
    <w:pPr>
      <w:pBdr>
        <w:top w:val="nil"/>
        <w:left w:val="nil"/>
        <w:bottom w:val="nil"/>
        <w:right w:val="nil"/>
        <w:between w:val="nil"/>
      </w:pBdr>
    </w:pPr>
  </w:p>
  <w:p w14:paraId="076500BF" w14:textId="77777777" w:rsidR="00AA21AE" w:rsidRDefault="00D724BA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A569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AE"/>
    <w:rsid w:val="000100EB"/>
    <w:rsid w:val="00021F9E"/>
    <w:rsid w:val="000D3FF6"/>
    <w:rsid w:val="00251A0E"/>
    <w:rsid w:val="002865ED"/>
    <w:rsid w:val="002E10D2"/>
    <w:rsid w:val="002F4967"/>
    <w:rsid w:val="003246A4"/>
    <w:rsid w:val="00324C97"/>
    <w:rsid w:val="00340959"/>
    <w:rsid w:val="00377AED"/>
    <w:rsid w:val="003A4753"/>
    <w:rsid w:val="00477BD7"/>
    <w:rsid w:val="004A0125"/>
    <w:rsid w:val="004A7A2C"/>
    <w:rsid w:val="005D625F"/>
    <w:rsid w:val="0065220C"/>
    <w:rsid w:val="007019C8"/>
    <w:rsid w:val="0092063C"/>
    <w:rsid w:val="009321C1"/>
    <w:rsid w:val="00937114"/>
    <w:rsid w:val="00AA21AE"/>
    <w:rsid w:val="00B01CA2"/>
    <w:rsid w:val="00B150AF"/>
    <w:rsid w:val="00BC3AD5"/>
    <w:rsid w:val="00CD05F7"/>
    <w:rsid w:val="00D57706"/>
    <w:rsid w:val="00D724BA"/>
    <w:rsid w:val="00D74FA2"/>
    <w:rsid w:val="00EF40A5"/>
    <w:rsid w:val="00F16C5B"/>
    <w:rsid w:val="00F3746F"/>
    <w:rsid w:val="044266D0"/>
    <w:rsid w:val="0E0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214A9E"/>
  <w15:docId w15:val="{D1425B65-4F28-FD45-BAE2-27CC6170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B3EAEE-BE36-43F2-AC2C-A12EC9323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E5E96-3A1B-4636-8F9D-62C26D5E1366}"/>
</file>

<file path=customXml/itemProps3.xml><?xml version="1.0" encoding="utf-8"?>
<ds:datastoreItem xmlns:ds="http://schemas.openxmlformats.org/officeDocument/2006/customXml" ds:itemID="{A9609475-7DDA-409D-8D05-2A499799385A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Maja Zupanc</cp:lastModifiedBy>
  <cp:revision>16</cp:revision>
  <dcterms:created xsi:type="dcterms:W3CDTF">2023-05-23T20:22:00Z</dcterms:created>
  <dcterms:modified xsi:type="dcterms:W3CDTF">2025-08-20T17:37:00Z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MediaServiceImageTags">
    <vt:lpwstr/>
  </property>
</Properties>
</file>